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5"/>
          <w:szCs w:val="25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Title"/>
        <w:spacing w:before="146" w:lineRule="auto"/>
        <w:ind w:left="325" w:right="272" w:firstLine="0"/>
        <w:rPr>
          <w:sz w:val="60"/>
          <w:szCs w:val="60"/>
        </w:rPr>
      </w:pPr>
      <w:r w:rsidDel="00000000" w:rsidR="00000000" w:rsidRPr="00000000">
        <w:rPr>
          <w:i w:val="1"/>
          <w:sz w:val="60"/>
          <w:szCs w:val="60"/>
          <w:rtl w:val="0"/>
        </w:rPr>
        <w:t xml:space="preserve">Luna</w:t>
      </w:r>
      <w:r w:rsidDel="00000000" w:rsidR="00000000" w:rsidRPr="00000000">
        <w:rPr>
          <w:rFonts w:ascii="Arial" w:cs="Arial" w:eastAsia="Arial" w:hAnsi="Arial"/>
          <w:color w:val="006fc0"/>
          <w:sz w:val="58"/>
          <w:szCs w:val="58"/>
          <w:rtl w:val="0"/>
        </w:rPr>
        <w:t xml:space="preserve"> </w:t>
      </w:r>
      <w:r w:rsidDel="00000000" w:rsidR="00000000" w:rsidRPr="00000000">
        <w:rPr>
          <w:sz w:val="60"/>
          <w:szCs w:val="60"/>
          <w:rtl w:val="0"/>
        </w:rPr>
        <w:t xml:space="preserve">EMG</w:t>
      </w:r>
      <w:r w:rsidDel="00000000" w:rsidR="00000000" w:rsidRPr="00000000">
        <w:rPr>
          <w:b w:val="0"/>
          <w:sz w:val="60"/>
          <w:szCs w:val="60"/>
          <w:rtl w:val="0"/>
        </w:rPr>
        <w:t xml:space="preserve"> z </w:t>
      </w:r>
      <w:r w:rsidDel="00000000" w:rsidR="00000000" w:rsidRPr="00000000">
        <w:rPr>
          <w:i w:val="1"/>
          <w:sz w:val="60"/>
          <w:szCs w:val="60"/>
          <w:rtl w:val="0"/>
        </w:rPr>
        <w:t xml:space="preserve">Mezos</w:t>
      </w:r>
      <w:r w:rsidDel="00000000" w:rsidR="00000000" w:rsidRPr="00000000">
        <w:rPr>
          <w:sz w:val="60"/>
          <w:szCs w:val="60"/>
          <w:rtl w:val="0"/>
        </w:rPr>
        <w:t xml:space="preserve"> SIT</w:t>
      </w:r>
    </w:p>
    <w:p w:rsidR="00000000" w:rsidDel="00000000" w:rsidP="00000000" w:rsidRDefault="00000000" w:rsidRPr="00000000" w14:paraId="00000004">
      <w:pPr>
        <w:ind w:left="323" w:right="278" w:firstLine="0"/>
        <w:jc w:val="center"/>
        <w:rPr>
          <w:rFonts w:ascii="Exo" w:cs="Exo" w:eastAsia="Exo" w:hAnsi="Exo"/>
          <w:color w:val="0095da"/>
          <w:sz w:val="24"/>
          <w:szCs w:val="24"/>
        </w:rPr>
      </w:pPr>
      <w:r w:rsidDel="00000000" w:rsidR="00000000" w:rsidRPr="00000000">
        <w:rPr>
          <w:rFonts w:ascii="Exo" w:cs="Exo" w:eastAsia="Exo" w:hAnsi="Exo"/>
          <w:color w:val="0095da"/>
          <w:sz w:val="24"/>
          <w:szCs w:val="24"/>
          <w:rtl w:val="0"/>
        </w:rPr>
        <w:t xml:space="preserve">System do obiektywnej oceny i treningu funkcjonalnego </w:t>
      </w:r>
    </w:p>
    <w:p w:rsidR="00000000" w:rsidDel="00000000" w:rsidP="00000000" w:rsidRDefault="00000000" w:rsidRPr="00000000" w14:paraId="00000005">
      <w:pPr>
        <w:pStyle w:val="Subtitle"/>
        <w:widowControl w:val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(umożliwiający pracę w warunkach m.in. ruchu biernego, izotonicznego, izometrycznego, izokinetycznego kończyn górnych i dolnych) wraz z wielofunkcyjnym fotelem z elektryczną regulacją, do badań i zabiegów w pozycji siedzącej lub leżącej</w:t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" w:line="240" w:lineRule="auto"/>
        <w:ind w:left="0" w:right="0" w:firstLine="0"/>
        <w:jc w:val="center"/>
        <w:rPr>
          <w:rFonts w:ascii="Arial" w:cs="Arial" w:eastAsia="Arial" w:hAnsi="Arial"/>
          <w:b w:val="0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0" distR="0">
            <wp:extent cx="4780125" cy="3868408"/>
            <wp:effectExtent b="0" l="0" r="0" t="0"/>
            <wp:docPr id="10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80125" cy="38684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ind w:left="325" w:right="1357" w:firstLine="0"/>
        <w:jc w:val="center"/>
        <w:rPr>
          <w:sz w:val="36"/>
          <w:szCs w:val="36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3135630</wp:posOffset>
            </wp:positionH>
            <wp:positionV relativeFrom="paragraph">
              <wp:posOffset>40640</wp:posOffset>
            </wp:positionV>
            <wp:extent cx="645612" cy="465727"/>
            <wp:effectExtent b="0" l="0" r="0" t="0"/>
            <wp:wrapNone/>
            <wp:docPr descr="CE" id="12" name="image2.png"/>
            <a:graphic>
              <a:graphicData uri="http://schemas.openxmlformats.org/drawingml/2006/picture">
                <pic:pic>
                  <pic:nvPicPr>
                    <pic:cNvPr descr="CE"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5612" cy="46572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8">
      <w:pPr>
        <w:ind w:left="325" w:right="1357" w:firstLine="0"/>
        <w:jc w:val="center"/>
        <w:rPr>
          <w:sz w:val="36"/>
          <w:szCs w:val="36"/>
        </w:rPr>
      </w:pPr>
      <w:r w:rsidDel="00000000" w:rsidR="00000000" w:rsidRPr="00000000">
        <w:rPr>
          <w:sz w:val="36"/>
          <w:szCs w:val="36"/>
          <w:rtl w:val="0"/>
        </w:rPr>
        <w:t xml:space="preserve">2274</w:t>
      </w:r>
    </w:p>
    <w:p w:rsidR="00000000" w:rsidDel="00000000" w:rsidP="00000000" w:rsidRDefault="00000000" w:rsidRPr="00000000" w14:paraId="00000009">
      <w:pPr>
        <w:spacing w:before="242" w:lineRule="auto"/>
        <w:ind w:left="174" w:firstLine="0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Fonts w:ascii="Exo" w:cs="Exo" w:eastAsia="Exo" w:hAnsi="Exo"/>
          <w:b w:val="1"/>
          <w:color w:val="0095da"/>
          <w:sz w:val="36"/>
          <w:szCs w:val="36"/>
          <w:rtl w:val="0"/>
        </w:rPr>
        <w:t xml:space="preserve">Robot Luna EMG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4" w:line="264" w:lineRule="auto"/>
        <w:ind w:left="0" w:right="122" w:firstLine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Luna EMG umożliwia wykonywanie m.in. zrobotyzowanych ćwiczeń biernych, siłowych, ćwiczeń z oporem dynamicznym: izokinetyczne, izotoniczne, elastyczne, z grami rehabilitacyjnymi oraz w wybranych konfiguracjach - z reaktywną elektromiografią.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4" w:line="264" w:lineRule="auto"/>
        <w:ind w:left="0" w:right="122" w:firstLine="360"/>
        <w:jc w:val="both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Umożliwia pracę czynną z pacjentami od ""1"" w skali Lovett-a, a także: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613"/>
          <w:tab w:val="left" w:leader="none" w:pos="1614"/>
        </w:tabs>
        <w:spacing w:after="0" w:before="25" w:line="261" w:lineRule="auto"/>
        <w:ind w:left="360" w:right="121" w:hanging="360"/>
        <w:jc w:val="both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prowadzeni</w:t>
      </w:r>
      <w:r w:rsidDel="00000000" w:rsidR="00000000" w:rsidRPr="00000000">
        <w:rPr>
          <w:rFonts w:ascii="Exo" w:cs="Exo" w:eastAsia="Exo" w:hAnsi="Exo"/>
          <w:rtl w:val="0"/>
        </w:rPr>
        <w:t xml:space="preserve">e</w:t>
      </w: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diagnostyki: dynamometrycznej oceny spastyczności, dynamometrycznej oceny siły mięśniowej, elektromiograficznej oceny unerwienia;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613"/>
          <w:tab w:val="left" w:leader="none" w:pos="1614"/>
        </w:tabs>
        <w:spacing w:after="0" w:before="4" w:line="240" w:lineRule="auto"/>
        <w:ind w:left="360" w:right="0" w:hanging="360"/>
        <w:jc w:val="both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prowadzenie </w:t>
      </w: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rehabilitacji: barku, łokcia, biodra, kolana, stopy, ręki;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613"/>
          <w:tab w:val="left" w:leader="none" w:pos="1614"/>
        </w:tabs>
        <w:spacing w:after="0" w:before="25" w:line="264" w:lineRule="auto"/>
        <w:ind w:left="360" w:right="125" w:hanging="360"/>
        <w:jc w:val="both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prowadzenie </w:t>
      </w: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treningu z użyciem biofeedbacku w postaci gier rehabilitacyjnych, realizowanego zarówno poprzez pozycje kończyny pacjenta (sterowaną poprzez opór  dynamiczny);</w:t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613"/>
          <w:tab w:val="left" w:leader="none" w:pos="1614"/>
        </w:tabs>
        <w:spacing w:after="0" w:before="1" w:line="240" w:lineRule="auto"/>
        <w:ind w:left="360" w:right="0" w:hanging="360"/>
        <w:jc w:val="both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generowani</w:t>
      </w:r>
      <w:r w:rsidDel="00000000" w:rsidR="00000000" w:rsidRPr="00000000">
        <w:rPr>
          <w:rFonts w:ascii="Exo" w:cs="Exo" w:eastAsia="Exo" w:hAnsi="Exo"/>
          <w:rtl w:val="0"/>
        </w:rPr>
        <w:t xml:space="preserve">e</w:t>
      </w: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raportów z treningu dostosowanych do każdego pacjenta;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613"/>
          <w:tab w:val="left" w:leader="none" w:pos="1614"/>
        </w:tabs>
        <w:spacing w:after="0" w:before="25" w:line="264" w:lineRule="auto"/>
        <w:ind w:left="360" w:right="122" w:hanging="360"/>
        <w:jc w:val="both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prowadzenie dokumentacji treningów pacjenta w oprogramowaniu (kartoteki pacjentów);</w:t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613"/>
          <w:tab w:val="left" w:leader="none" w:pos="1614"/>
        </w:tabs>
        <w:spacing w:after="0" w:before="30" w:line="240" w:lineRule="auto"/>
        <w:ind w:left="360" w:right="0" w:hanging="360"/>
        <w:jc w:val="both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połączeni</w:t>
      </w:r>
      <w:r w:rsidDel="00000000" w:rsidR="00000000" w:rsidRPr="00000000">
        <w:rPr>
          <w:rFonts w:ascii="Exo" w:cs="Exo" w:eastAsia="Exo" w:hAnsi="Exo"/>
          <w:rtl w:val="0"/>
        </w:rPr>
        <w:t xml:space="preserve">e</w:t>
      </w: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robota z siecią Internet oraz dostępność systemu operacyjnego,</w: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613"/>
          <w:tab w:val="left" w:leader="none" w:pos="1614"/>
        </w:tabs>
        <w:spacing w:after="0" w:before="25" w:line="264" w:lineRule="auto"/>
        <w:ind w:left="360" w:right="125" w:hanging="360"/>
        <w:jc w:val="both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integracj</w:t>
      </w:r>
      <w:r w:rsidDel="00000000" w:rsidR="00000000" w:rsidRPr="00000000">
        <w:rPr>
          <w:rFonts w:ascii="Exo" w:cs="Exo" w:eastAsia="Exo" w:hAnsi="Exo"/>
          <w:rtl w:val="0"/>
        </w:rPr>
        <w:t xml:space="preserve">ę</w:t>
      </w: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z fotelem rehabilitacyjnym, który umożliwia dostosowanie do każdej pozycji ćwiczeniowej stawów: kolanowego, biodrowego, łokcia, barku, nadgarstkowego i skokowego.</w:t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" w:line="240" w:lineRule="auto"/>
        <w:ind w:left="0" w:right="0" w:firstLine="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ind w:left="174" w:firstLine="0"/>
        <w:jc w:val="both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Fonts w:ascii="Exo" w:cs="Exo" w:eastAsia="Exo" w:hAnsi="Exo"/>
          <w:b w:val="1"/>
          <w:color w:val="0095da"/>
          <w:sz w:val="36"/>
          <w:szCs w:val="36"/>
          <w:rtl w:val="0"/>
        </w:rPr>
        <w:t xml:space="preserve">Z</w:t>
      </w:r>
      <w:r w:rsidDel="00000000" w:rsidR="00000000" w:rsidRPr="00000000">
        <w:rPr>
          <w:rFonts w:ascii="Exo" w:cs="Exo" w:eastAsia="Exo" w:hAnsi="Exo"/>
          <w:b w:val="1"/>
          <w:color w:val="0095da"/>
          <w:sz w:val="36"/>
          <w:szCs w:val="36"/>
          <w:rtl w:val="0"/>
        </w:rPr>
        <w:t xml:space="preserve">estaw zawiera:</w: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93"/>
          <w:tab w:val="left" w:leader="none" w:pos="895"/>
        </w:tabs>
        <w:spacing w:after="0" w:before="22" w:line="240" w:lineRule="auto"/>
        <w:ind w:left="534" w:right="0" w:hanging="36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Robot rehabilitacyjny LUNA EMG</w:t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93"/>
          <w:tab w:val="left" w:leader="none" w:pos="895"/>
        </w:tabs>
        <w:spacing w:after="0" w:before="25" w:line="240" w:lineRule="auto"/>
        <w:ind w:left="534" w:right="0" w:hanging="36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Przystawka do kończyny górnej</w:t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93"/>
          <w:tab w:val="left" w:leader="none" w:pos="895"/>
        </w:tabs>
        <w:spacing w:after="0" w:before="25" w:line="240" w:lineRule="auto"/>
        <w:ind w:left="534" w:right="0" w:hanging="36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Przystawka do kończyny dolnej</w:t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93"/>
          <w:tab w:val="left" w:leader="none" w:pos="895"/>
        </w:tabs>
        <w:spacing w:after="0" w:before="25" w:line="240" w:lineRule="auto"/>
        <w:ind w:left="534" w:right="0" w:hanging="36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Przystawka do stopy</w:t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95"/>
        </w:tabs>
        <w:spacing w:after="0" w:before="23" w:line="240" w:lineRule="auto"/>
        <w:ind w:left="534" w:right="0" w:hanging="36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Przystawka do przedramienia</w:t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95"/>
        </w:tabs>
        <w:spacing w:after="0" w:before="25" w:line="240" w:lineRule="auto"/>
        <w:ind w:left="534" w:right="0" w:hanging="36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Przystawka do barku</w:t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93"/>
          <w:tab w:val="left" w:leader="none" w:pos="895"/>
        </w:tabs>
        <w:spacing w:after="0" w:before="25" w:line="240" w:lineRule="auto"/>
        <w:ind w:left="534" w:right="0" w:hanging="36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Przystawka typu kierownica</w:t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95"/>
        </w:tabs>
        <w:spacing w:after="0" w:before="25" w:line="240" w:lineRule="auto"/>
        <w:ind w:left="534" w:right="0" w:hanging="36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Pilot sterujący z przyciskiem bezpieczeństwa dla pacjenta</w:t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95"/>
        </w:tabs>
        <w:spacing w:after="0" w:before="23" w:line="240" w:lineRule="auto"/>
        <w:ind w:left="534" w:right="0" w:hanging="36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Kabel zasilający IEC C13 10m, 250V</w:t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95"/>
        </w:tabs>
        <w:spacing w:after="0" w:before="25" w:line="240" w:lineRule="auto"/>
        <w:ind w:left="534" w:right="0" w:hanging="36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Przewód EMG 2 kanałowy - 1,5m długości MDR26</w:t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95"/>
        </w:tabs>
        <w:spacing w:after="0" w:before="25" w:line="240" w:lineRule="auto"/>
        <w:ind w:left="534" w:right="0" w:hanging="36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Tablet Microsoft Surface Pro 12,3’’ – skonfigurowany z EgzoApp, EgzoServices, EgzoGames</w:t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95"/>
        </w:tabs>
        <w:spacing w:after="0" w:before="25" w:line="240" w:lineRule="auto"/>
        <w:ind w:left="534" w:right="0" w:hanging="36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 gry rehabilitacyjne </w:t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95"/>
        </w:tabs>
        <w:spacing w:after="0" w:before="22" w:line="240" w:lineRule="auto"/>
        <w:ind w:left="534" w:right="0" w:hanging="36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Klucz bezpieczeństwa Kensington lock dla uchwytu tabletu</w:t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95"/>
        </w:tabs>
        <w:spacing w:after="0" w:before="25" w:line="240" w:lineRule="auto"/>
        <w:ind w:left="534" w:right="0" w:hanging="36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USB Hub – 4 gniazda</w:t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895"/>
        </w:tabs>
        <w:spacing w:after="0" w:before="25" w:line="240" w:lineRule="auto"/>
        <w:ind w:left="534" w:right="0" w:hanging="36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shd w:fill="auto" w:val="clear"/>
          <w:vertAlign w:val="baseline"/>
        </w:rPr>
      </w:pPr>
      <w:r w:rsidDel="00000000" w:rsidR="00000000" w:rsidRPr="00000000">
        <w:rPr>
          <w:rFonts w:ascii="Exo" w:cs="Exo" w:eastAsia="Exo" w:hAnsi="Exo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 opakowań elektrod - Elektroda EMG/EKG Sorimex EK-S 60 P, żel ciekły, op. 50 szt.</w:t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Exo" w:cs="Exo" w:eastAsia="Exo" w:hAnsi="Exo"/>
          <w:i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before="242" w:lineRule="auto"/>
        <w:ind w:left="174" w:firstLine="0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Fonts w:ascii="Exo" w:cs="Exo" w:eastAsia="Exo" w:hAnsi="Exo"/>
          <w:b w:val="1"/>
          <w:color w:val="0095da"/>
          <w:sz w:val="36"/>
          <w:szCs w:val="36"/>
          <w:rtl w:val="0"/>
        </w:rPr>
        <w:t xml:space="preserve">Wielofunkcyjny fotel </w:t>
      </w:r>
      <w:r w:rsidDel="00000000" w:rsidR="00000000" w:rsidRPr="00000000">
        <w:rPr>
          <w:rFonts w:ascii="Exo" w:cs="Exo" w:eastAsia="Exo" w:hAnsi="Exo"/>
          <w:b w:val="1"/>
          <w:color w:val="0095da"/>
          <w:sz w:val="36"/>
          <w:szCs w:val="36"/>
          <w:rtl w:val="0"/>
        </w:rPr>
        <w:t xml:space="preserve">Mezos SIT</w:t>
      </w:r>
    </w:p>
    <w:p w:rsidR="00000000" w:rsidDel="00000000" w:rsidP="00000000" w:rsidRDefault="00000000" w:rsidRPr="00000000" w14:paraId="00000027">
      <w:pPr>
        <w:spacing w:before="242" w:lineRule="auto"/>
        <w:ind w:left="174" w:firstLine="0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Mezos SIT zapewnia pacjentowi prawidłową stabilizację, komfort i bezpieczeństwo oraz poprawia ergonomię pracy terapeuty podczas prowadzonej terapii, badań i zabiegów.</w:t>
      </w:r>
    </w:p>
    <w:p w:rsidR="00000000" w:rsidDel="00000000" w:rsidP="00000000" w:rsidRDefault="00000000" w:rsidRPr="00000000" w14:paraId="00000028">
      <w:pPr>
        <w:spacing w:before="242" w:lineRule="auto"/>
        <w:ind w:left="174" w:firstLine="0"/>
        <w:rPr>
          <w:rFonts w:ascii="Exo" w:cs="Exo" w:eastAsia="Exo" w:hAnsi="Ex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widowControl w:val="1"/>
        <w:numPr>
          <w:ilvl w:val="0"/>
          <w:numId w:val="3"/>
        </w:numPr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Regulowane podnóżki (prawy i lewy), z możliwością całkowitego złożenia, kąt nachylenia podnóżka: 15⁰ - 90⁰</w:t>
      </w:r>
    </w:p>
    <w:p w:rsidR="00000000" w:rsidDel="00000000" w:rsidP="00000000" w:rsidRDefault="00000000" w:rsidRPr="00000000" w14:paraId="0000002A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5-cio punktowy, magnetyczny system pasów stabilizujących pacjenta</w:t>
      </w:r>
    </w:p>
    <w:p w:rsidR="00000000" w:rsidDel="00000000" w:rsidP="00000000" w:rsidRDefault="00000000" w:rsidRPr="00000000" w14:paraId="0000002B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Szybkie odpinanie systemu pasów za pomocą dwóch ruchów</w:t>
      </w:r>
    </w:p>
    <w:p w:rsidR="00000000" w:rsidDel="00000000" w:rsidP="00000000" w:rsidRDefault="00000000" w:rsidRPr="00000000" w14:paraId="0000002C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Uchwyt dłoni z możliwością regulowania wysokości i kąta</w:t>
      </w:r>
    </w:p>
    <w:p w:rsidR="00000000" w:rsidDel="00000000" w:rsidP="00000000" w:rsidRDefault="00000000" w:rsidRPr="00000000" w14:paraId="0000002D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Stabilizujący pas udowy</w:t>
      </w:r>
    </w:p>
    <w:p w:rsidR="00000000" w:rsidDel="00000000" w:rsidP="00000000" w:rsidRDefault="00000000" w:rsidRPr="00000000" w14:paraId="0000002E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Boczne barierki, z możliwością całkowitego złożenia</w:t>
      </w:r>
    </w:p>
    <w:p w:rsidR="00000000" w:rsidDel="00000000" w:rsidP="00000000" w:rsidRDefault="00000000" w:rsidRPr="00000000" w14:paraId="0000002F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Łatwe dostosowanie do różnych pozycji pacjenta</w:t>
      </w:r>
    </w:p>
    <w:p w:rsidR="00000000" w:rsidDel="00000000" w:rsidP="00000000" w:rsidRDefault="00000000" w:rsidRPr="00000000" w14:paraId="00000030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Podłokietnik - podpórka przedramienia z pasami stabilizującymi</w:t>
      </w:r>
    </w:p>
    <w:p w:rsidR="00000000" w:rsidDel="00000000" w:rsidP="00000000" w:rsidRDefault="00000000" w:rsidRPr="00000000" w14:paraId="00000031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Regulowana głębokość siedziska 450-570 mm</w:t>
      </w:r>
    </w:p>
    <w:p w:rsidR="00000000" w:rsidDel="00000000" w:rsidP="00000000" w:rsidRDefault="00000000" w:rsidRPr="00000000" w14:paraId="00000032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Szerokość siedziska: 580-650 mm</w:t>
      </w:r>
    </w:p>
    <w:p w:rsidR="00000000" w:rsidDel="00000000" w:rsidP="00000000" w:rsidRDefault="00000000" w:rsidRPr="00000000" w14:paraId="00000033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Elektryczna regulacja nachylenie oparcia 87⁰ - 0⁰</w:t>
      </w:r>
    </w:p>
    <w:p w:rsidR="00000000" w:rsidDel="00000000" w:rsidP="00000000" w:rsidRDefault="00000000" w:rsidRPr="00000000" w14:paraId="00000034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Elektryczna regulacja nachylenia siedziska: 0⁰- 20⁰</w:t>
      </w:r>
    </w:p>
    <w:p w:rsidR="00000000" w:rsidDel="00000000" w:rsidP="00000000" w:rsidRDefault="00000000" w:rsidRPr="00000000" w14:paraId="00000035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Elektryczna regulacja wysokości siedziska 490-890 mm</w:t>
      </w:r>
    </w:p>
    <w:p w:rsidR="00000000" w:rsidDel="00000000" w:rsidP="00000000" w:rsidRDefault="00000000" w:rsidRPr="00000000" w14:paraId="00000036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Pilot do sterowania fotelem </w:t>
      </w:r>
    </w:p>
    <w:p w:rsidR="00000000" w:rsidDel="00000000" w:rsidP="00000000" w:rsidRDefault="00000000" w:rsidRPr="00000000" w14:paraId="00000037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Możliwość rozłożenia całego fotela tak aby stanowił on stół terapeutyczny</w:t>
      </w:r>
    </w:p>
    <w:p w:rsidR="00000000" w:rsidDel="00000000" w:rsidP="00000000" w:rsidRDefault="00000000" w:rsidRPr="00000000" w14:paraId="00000038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Centralny system jezdny – opuszczany lub chowany w celu pełnej stabilności urządzenia</w:t>
      </w:r>
    </w:p>
    <w:p w:rsidR="00000000" w:rsidDel="00000000" w:rsidP="00000000" w:rsidRDefault="00000000" w:rsidRPr="00000000" w14:paraId="00000039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Maksymalna masa ciała pacjenta: 135 kg</w:t>
      </w:r>
    </w:p>
    <w:p w:rsidR="00000000" w:rsidDel="00000000" w:rsidP="00000000" w:rsidRDefault="00000000" w:rsidRPr="00000000" w14:paraId="0000003A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Wysokość całkowita: 1320 -1720 mm</w:t>
      </w:r>
    </w:p>
    <w:p w:rsidR="00000000" w:rsidDel="00000000" w:rsidP="00000000" w:rsidRDefault="00000000" w:rsidRPr="00000000" w14:paraId="0000003B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Długość całkowita: 1200 mm (złożone podnóżki), 1900 mm w trybie stołu terapeutycznego</w:t>
      </w:r>
    </w:p>
    <w:p w:rsidR="00000000" w:rsidDel="00000000" w:rsidP="00000000" w:rsidRDefault="00000000" w:rsidRPr="00000000" w14:paraId="0000003C">
      <w:pPr>
        <w:ind w:left="174" w:firstLine="0"/>
        <w:jc w:val="both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561975</wp:posOffset>
            </wp:positionH>
            <wp:positionV relativeFrom="paragraph">
              <wp:posOffset>84734</wp:posOffset>
            </wp:positionV>
            <wp:extent cx="5317410" cy="3604419"/>
            <wp:effectExtent b="0" l="0" r="0" t="0"/>
            <wp:wrapSquare wrapText="bothSides" distB="0" distT="0" distL="114300" distR="114300"/>
            <wp:docPr id="1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17410" cy="360441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D">
      <w:pPr>
        <w:ind w:left="174" w:firstLine="0"/>
        <w:jc w:val="both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ind w:left="174" w:firstLine="0"/>
        <w:jc w:val="both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ind w:left="174" w:firstLine="0"/>
        <w:jc w:val="both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ind w:left="174" w:firstLine="0"/>
        <w:jc w:val="both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ind w:left="174" w:firstLine="0"/>
        <w:jc w:val="both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ind w:left="174" w:firstLine="0"/>
        <w:jc w:val="both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ind w:left="174" w:firstLine="0"/>
        <w:jc w:val="both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ind w:left="174" w:firstLine="0"/>
        <w:jc w:val="both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ind w:left="174" w:firstLine="0"/>
        <w:jc w:val="both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ind w:left="174" w:firstLine="0"/>
        <w:jc w:val="both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ind w:left="174" w:firstLine="0"/>
        <w:jc w:val="both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ind w:left="174" w:firstLine="0"/>
        <w:jc w:val="both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ind w:left="174" w:firstLine="0"/>
        <w:jc w:val="both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ind w:left="174" w:firstLine="0"/>
        <w:jc w:val="both"/>
        <w:rPr>
          <w:rFonts w:ascii="Exo" w:cs="Exo" w:eastAsia="Exo" w:hAnsi="Exo"/>
          <w:b w:val="1"/>
          <w:color w:val="0095da"/>
          <w:sz w:val="36"/>
          <w:szCs w:val="36"/>
        </w:rPr>
      </w:pPr>
      <w:r w:rsidDel="00000000" w:rsidR="00000000" w:rsidRPr="00000000">
        <w:rPr>
          <w:rFonts w:ascii="Exo" w:cs="Exo" w:eastAsia="Exo" w:hAnsi="Exo"/>
          <w:b w:val="1"/>
          <w:color w:val="0095da"/>
          <w:sz w:val="36"/>
          <w:szCs w:val="36"/>
          <w:rtl w:val="0"/>
        </w:rPr>
        <w:t xml:space="preserve">Zestaw zawiera:</w:t>
      </w:r>
    </w:p>
    <w:p w:rsidR="00000000" w:rsidDel="00000000" w:rsidP="00000000" w:rsidRDefault="00000000" w:rsidRPr="00000000" w14:paraId="0000004B">
      <w:pPr>
        <w:ind w:left="174" w:firstLine="0"/>
        <w:jc w:val="both"/>
        <w:rPr>
          <w:rFonts w:ascii="Exo" w:cs="Exo" w:eastAsia="Exo" w:hAnsi="Exo"/>
          <w:b w:val="1"/>
          <w:color w:val="0095da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widowControl w:val="1"/>
        <w:numPr>
          <w:ilvl w:val="0"/>
          <w:numId w:val="3"/>
        </w:numPr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Regulowane podnóżki (prawy i lewy)</w:t>
      </w:r>
    </w:p>
    <w:p w:rsidR="00000000" w:rsidDel="00000000" w:rsidP="00000000" w:rsidRDefault="00000000" w:rsidRPr="00000000" w14:paraId="0000004D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5-cio punktowy, magnetyczny system pasów stabilizujących pacjenta</w:t>
      </w:r>
    </w:p>
    <w:p w:rsidR="00000000" w:rsidDel="00000000" w:rsidP="00000000" w:rsidRDefault="00000000" w:rsidRPr="00000000" w14:paraId="0000004E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Uchwyt dłoni </w:t>
      </w:r>
    </w:p>
    <w:p w:rsidR="00000000" w:rsidDel="00000000" w:rsidP="00000000" w:rsidRDefault="00000000" w:rsidRPr="00000000" w14:paraId="0000004F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Stabilizujący pas udowy</w:t>
      </w:r>
    </w:p>
    <w:p w:rsidR="00000000" w:rsidDel="00000000" w:rsidP="00000000" w:rsidRDefault="00000000" w:rsidRPr="00000000" w14:paraId="00000050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Boczne barierki</w:t>
      </w:r>
    </w:p>
    <w:p w:rsidR="00000000" w:rsidDel="00000000" w:rsidP="00000000" w:rsidRDefault="00000000" w:rsidRPr="00000000" w14:paraId="00000051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Podłokietnik - podpórka przedramienia z pasami stabilizującymi</w:t>
      </w:r>
    </w:p>
    <w:p w:rsidR="00000000" w:rsidDel="00000000" w:rsidP="00000000" w:rsidRDefault="00000000" w:rsidRPr="00000000" w14:paraId="00000052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Pilot do sterowania fotelem </w:t>
      </w:r>
    </w:p>
    <w:p w:rsidR="00000000" w:rsidDel="00000000" w:rsidP="00000000" w:rsidRDefault="00000000" w:rsidRPr="00000000" w14:paraId="00000053">
      <w:pPr>
        <w:widowControl w:val="1"/>
        <w:numPr>
          <w:ilvl w:val="0"/>
          <w:numId w:val="3"/>
        </w:numPr>
        <w:spacing w:line="276" w:lineRule="auto"/>
        <w:ind w:left="720" w:hanging="360"/>
        <w:jc w:val="both"/>
        <w:rPr>
          <w:rFonts w:ascii="Exo" w:cs="Exo" w:eastAsia="Exo" w:hAnsi="Exo"/>
        </w:rPr>
      </w:pPr>
      <w:r w:rsidDel="00000000" w:rsidR="00000000" w:rsidRPr="00000000">
        <w:rPr>
          <w:rFonts w:ascii="Exo" w:cs="Exo" w:eastAsia="Exo" w:hAnsi="Exo"/>
          <w:rtl w:val="0"/>
        </w:rPr>
        <w:t xml:space="preserve">Centralny system jezdny </w:t>
      </w:r>
    </w:p>
    <w:p w:rsidR="00000000" w:rsidDel="00000000" w:rsidP="00000000" w:rsidRDefault="00000000" w:rsidRPr="00000000" w14:paraId="00000054">
      <w:pPr>
        <w:ind w:left="0" w:right="269" w:firstLine="0"/>
        <w:jc w:val="left"/>
        <w:rPr>
          <w:sz w:val="36"/>
          <w:szCs w:val="36"/>
        </w:rPr>
      </w:pPr>
      <w:r w:rsidDel="00000000" w:rsidR="00000000" w:rsidRPr="00000000">
        <w:rPr>
          <w:rtl w:val="0"/>
        </w:rPr>
      </w:r>
    </w:p>
    <w:sectPr>
      <w:headerReference r:id="rId10" w:type="default"/>
      <w:pgSz w:h="16840" w:w="11910" w:orient="portrait"/>
      <w:pgMar w:bottom="1247" w:top="1247" w:left="1021" w:right="1021" w:header="318" w:foot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Times New Roman"/>
  <w:font w:name="Arial"/>
  <w:font w:name="Courier New"/>
  <w:font w:name="Tahoma">
    <w:embedRegular w:fontKey="{00000000-0000-0000-0000-000000000000}" r:id="rId1" w:subsetted="0"/>
    <w:embedBold w:fontKey="{00000000-0000-0000-0000-000000000000}" r:id="rId2" w:subsetted="0"/>
  </w:font>
  <w:font w:name="Noto Sans Symbols">
    <w:embedRegular w:fontKey="{00000000-0000-0000-0000-000000000000}" r:id="rId3" w:subsetted="0"/>
    <w:embedBold w:fontKey="{00000000-0000-0000-0000-000000000000}" r:id="rId4" w:subsetted="0"/>
  </w:font>
  <w:font w:name="Ex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55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14.399999999999999" w:lineRule="auto"/>
      <w:ind w:left="0" w:right="0" w:firstLine="0"/>
      <w:jc w:val="left"/>
      <w:rPr>
        <w:rFonts w:ascii="Tahoma" w:cs="Tahoma" w:eastAsia="Tahoma" w:hAnsi="Tahoma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Tahoma" w:cs="Tahoma" w:eastAsia="Tahoma" w:hAnsi="Tahoma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  <w:drawing>
        <wp:anchor allowOverlap="1" behindDoc="1" distB="0" distT="0" distL="0" distR="0" hidden="0" layoutInCell="1" locked="0" relativeHeight="0" simplePos="0">
          <wp:simplePos x="0" y="0"/>
          <wp:positionH relativeFrom="page">
            <wp:posOffset>5013583</wp:posOffset>
          </wp:positionH>
          <wp:positionV relativeFrom="page">
            <wp:posOffset>201727</wp:posOffset>
          </wp:positionV>
          <wp:extent cx="2213974" cy="663878"/>
          <wp:effectExtent b="0" l="0" r="0" t="0"/>
          <wp:wrapNone/>
          <wp:docPr id="11" name="image1.jpg"/>
          <a:graphic>
            <a:graphicData uri="http://schemas.openxmlformats.org/drawingml/2006/picture">
              <pic:pic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213974" cy="663878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cs="Noto Sans Symbols" w:eastAsia="Noto Sans Symbols" w:hAnsi="Noto Sans Symbols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bullet"/>
      <w:lvlText w:val="●"/>
      <w:lvlJc w:val="left"/>
      <w:pPr>
        <w:ind w:left="534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254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1974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694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414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134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4854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574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294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Tahoma" w:cs="Tahoma" w:eastAsia="Tahoma" w:hAnsi="Tahoma"/>
        <w:sz w:val="22"/>
        <w:szCs w:val="22"/>
        <w:lang w:val="pl-PL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widowControl w:val="1"/>
      <w:spacing w:after="60" w:line="276" w:lineRule="auto"/>
      <w:jc w:val="center"/>
    </w:pPr>
    <w:rPr>
      <w:rFonts w:ascii="Exo" w:cs="Exo" w:eastAsia="Exo" w:hAnsi="Exo"/>
      <w:b w:val="1"/>
      <w:color w:val="0095da"/>
      <w:sz w:val="40"/>
      <w:szCs w:val="40"/>
    </w:rPr>
  </w:style>
  <w:style w:type="paragraph" w:styleId="Normalny" w:default="1">
    <w:name w:val="Normal"/>
    <w:qFormat w:val="1"/>
    <w:rPr>
      <w:rFonts w:ascii="Tahoma" w:cs="Tahoma" w:eastAsia="Tahoma" w:hAnsi="Tahoma"/>
      <w:lang w:val="pl-PL"/>
    </w:rPr>
  </w:style>
  <w:style w:type="character" w:styleId="Domylnaczcionkaakapitu" w:default="1">
    <w:name w:val="Default Paragraph Font"/>
    <w:uiPriority w:val="1"/>
    <w:semiHidden w:val="1"/>
    <w:unhideWhenUsed w:val="1"/>
  </w:style>
  <w:style w:type="table" w:styleId="Standardowy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listy" w:default="1">
    <w:name w:val="No List"/>
    <w:uiPriority w:val="99"/>
    <w:semiHidden w:val="1"/>
    <w:unhideWhenUsed w:val="1"/>
  </w:style>
  <w:style w:type="table" w:styleId="TableNormal" w:customStyle="1">
    <w:name w:val="Table Normal"/>
    <w:uiPriority w:val="2"/>
    <w:semiHidden w:val="1"/>
    <w:unhideWhenUsed w:val="1"/>
    <w:qFormat w:val="1"/>
    <w:tblPr>
      <w:tblInd w:w="0.0" w:type="dxa"/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ekstpodstawowy">
    <w:name w:val="Body Text"/>
    <w:basedOn w:val="Normalny"/>
    <w:uiPriority w:val="1"/>
    <w:qFormat w:val="1"/>
    <w:pPr>
      <w:spacing w:before="25"/>
    </w:pPr>
    <w:rPr>
      <w:sz w:val="20"/>
      <w:szCs w:val="20"/>
    </w:rPr>
  </w:style>
  <w:style w:type="paragraph" w:styleId="Akapitzlist">
    <w:name w:val="List Paragraph"/>
    <w:basedOn w:val="Normalny"/>
    <w:uiPriority w:val="1"/>
    <w:qFormat w:val="1"/>
    <w:pPr>
      <w:spacing w:before="25"/>
      <w:ind w:left="894" w:hanging="361"/>
    </w:pPr>
  </w:style>
  <w:style w:type="paragraph" w:styleId="TableParagraph" w:customStyle="1">
    <w:name w:val="Table Paragraph"/>
    <w:basedOn w:val="Normalny"/>
    <w:uiPriority w:val="1"/>
    <w:qFormat w:val="1"/>
  </w:style>
  <w:style w:type="paragraph" w:styleId="Tytu">
    <w:name w:val="Title"/>
    <w:basedOn w:val="Normalny"/>
    <w:next w:val="Normalny"/>
    <w:link w:val="TytuZnak"/>
    <w:uiPriority w:val="10"/>
    <w:qFormat w:val="1"/>
    <w:rsid w:val="00B8397E"/>
    <w:pPr>
      <w:keepNext w:val="1"/>
      <w:keepLines w:val="1"/>
      <w:widowControl w:val="1"/>
      <w:autoSpaceDE w:val="1"/>
      <w:autoSpaceDN w:val="1"/>
      <w:spacing w:after="60" w:line="276" w:lineRule="auto"/>
      <w:jc w:val="center"/>
    </w:pPr>
    <w:rPr>
      <w:rFonts w:ascii="Exo" w:cs="Exo" w:eastAsia="Exo" w:hAnsi="Exo"/>
      <w:b w:val="1"/>
      <w:color w:val="0095da"/>
      <w:sz w:val="40"/>
      <w:szCs w:val="40"/>
      <w:lang w:eastAsia="pl-PL"/>
    </w:rPr>
  </w:style>
  <w:style w:type="character" w:styleId="TytuZnak" w:customStyle="1">
    <w:name w:val="Tytuł Znak"/>
    <w:basedOn w:val="Domylnaczcionkaakapitu"/>
    <w:link w:val="Tytu"/>
    <w:uiPriority w:val="10"/>
    <w:rsid w:val="00B8397E"/>
    <w:rPr>
      <w:rFonts w:ascii="Exo" w:cs="Exo" w:eastAsia="Exo" w:hAnsi="Exo"/>
      <w:b w:val="1"/>
      <w:color w:val="0095da"/>
      <w:sz w:val="40"/>
      <w:szCs w:val="40"/>
      <w:lang w:eastAsia="pl-PL" w:val="pl-PL"/>
    </w:rPr>
  </w:style>
  <w:style w:type="paragraph" w:styleId="Podtytu">
    <w:name w:val="Subtitle"/>
    <w:basedOn w:val="Normalny"/>
    <w:next w:val="Normalny"/>
    <w:link w:val="PodtytuZnak"/>
    <w:uiPriority w:val="11"/>
    <w:qFormat w:val="1"/>
    <w:rsid w:val="00B8397E"/>
    <w:pPr>
      <w:keepNext w:val="1"/>
      <w:keepLines w:val="1"/>
      <w:widowControl w:val="1"/>
      <w:autoSpaceDE w:val="1"/>
      <w:autoSpaceDN w:val="1"/>
      <w:spacing w:after="320"/>
      <w:jc w:val="center"/>
    </w:pPr>
    <w:rPr>
      <w:rFonts w:ascii="Exo" w:cs="Exo" w:eastAsia="Exo" w:hAnsi="Exo"/>
      <w:color w:val="0095da"/>
      <w:sz w:val="20"/>
      <w:szCs w:val="20"/>
      <w:lang w:eastAsia="pl-PL"/>
    </w:rPr>
  </w:style>
  <w:style w:type="character" w:styleId="PodtytuZnak" w:customStyle="1">
    <w:name w:val="Podtytuł Znak"/>
    <w:basedOn w:val="Domylnaczcionkaakapitu"/>
    <w:link w:val="Podtytu"/>
    <w:uiPriority w:val="11"/>
    <w:rsid w:val="00B8397E"/>
    <w:rPr>
      <w:rFonts w:ascii="Exo" w:cs="Exo" w:eastAsia="Exo" w:hAnsi="Exo"/>
      <w:color w:val="0095da"/>
      <w:sz w:val="20"/>
      <w:szCs w:val="20"/>
      <w:lang w:eastAsia="pl-PL" w:val="pl-PL"/>
    </w:rPr>
  </w:style>
  <w:style w:type="character" w:styleId="Hipercze">
    <w:name w:val="Hyperlink"/>
    <w:basedOn w:val="Domylnaczcionkaakapitu"/>
    <w:uiPriority w:val="99"/>
    <w:unhideWhenUsed w:val="1"/>
    <w:rsid w:val="00AC0FC7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 w:val="1"/>
    <w:unhideWhenUsed w:val="1"/>
    <w:rsid w:val="00AC0FC7"/>
    <w:rPr>
      <w:color w:val="605e5c"/>
      <w:shd w:color="auto" w:fill="e1dfdd" w:val="clear"/>
    </w:rPr>
  </w:style>
  <w:style w:type="paragraph" w:styleId="Subtitle">
    <w:name w:val="Subtitle"/>
    <w:basedOn w:val="Normal"/>
    <w:next w:val="Normal"/>
    <w:pPr>
      <w:keepNext w:val="1"/>
      <w:keepLines w:val="1"/>
      <w:widowControl w:val="1"/>
      <w:spacing w:after="320" w:lineRule="auto"/>
      <w:jc w:val="center"/>
    </w:pPr>
    <w:rPr>
      <w:rFonts w:ascii="Exo" w:cs="Exo" w:eastAsia="Exo" w:hAnsi="Exo"/>
      <w:color w:val="0095da"/>
      <w:sz w:val="20"/>
      <w:szCs w:val="2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header" Target="header1.xml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Tahoma-regular.ttf"/><Relationship Id="rId2" Type="http://schemas.openxmlformats.org/officeDocument/2006/relationships/font" Target="fonts/Tahoma-bold.ttf"/><Relationship Id="rId3" Type="http://schemas.openxmlformats.org/officeDocument/2006/relationships/font" Target="fonts/NotoSansSymbols-regular.ttf"/><Relationship Id="rId4" Type="http://schemas.openxmlformats.org/officeDocument/2006/relationships/font" Target="fonts/NotoSansSymbols-bold.ttf"/><Relationship Id="rId5" Type="http://schemas.openxmlformats.org/officeDocument/2006/relationships/font" Target="fonts/Exo-regular.ttf"/><Relationship Id="rId6" Type="http://schemas.openxmlformats.org/officeDocument/2006/relationships/font" Target="fonts/Exo-bold.ttf"/><Relationship Id="rId7" Type="http://schemas.openxmlformats.org/officeDocument/2006/relationships/font" Target="fonts/Exo-italic.ttf"/><Relationship Id="rId8" Type="http://schemas.openxmlformats.org/officeDocument/2006/relationships/font" Target="fonts/Exo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vfXjaKx3eQOApatf4XqI3gw0uQ==">CgMxLjA4AHIhMUVUTWc4WExNNnZMNzNuTTNTN0FkQy1Palk0ZnhCNGRs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2022-05-16T05:34:00Z</dcterms:created>
  <dc:creator>MARCIN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2020-10-08T00:00:00Z</vt:filetime>
  </property>
  <property fmtid="{D5CDD505-2E9C-101B-9397-08002B2CF9AE}" pid="3" name="Creator">
    <vt:lpwstr>Microsoft® Word dla Microsoft 365</vt:lpwstr>
  </property>
  <property fmtid="{D5CDD505-2E9C-101B-9397-08002B2CF9AE}" pid="4" name="LastSaved">
    <vt:filetime>2022-05-16T00:00:00Z</vt:filetime>
  </property>
</Properties>
</file>